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1603-106</w:t>
        <w:t xml:space="preserve">.  </w:t>
      </w:r>
      <w:r>
        <w:rPr>
          <w:b/>
        </w:rPr>
        <w:t xml:space="preserve">Bylaws</w:t>
      </w:r>
    </w:p>
    <w:p>
      <w:pPr>
        <w:jc w:val="both"/>
        <w:spacing w:before="100" w:after="100"/>
        <w:ind w:start="360"/>
        <w:ind w:firstLine="360"/>
      </w:pPr>
      <w:r>
        <w:rPr/>
      </w:r>
      <w:r>
        <w:rPr/>
      </w:r>
      <w:r>
        <w:t xml:space="preserve">(a)  The bylaws of the association must provide for:</w:t>
      </w:r>
    </w:p>
    <w:p>
      <w:pPr>
        <w:jc w:val="both"/>
        <w:spacing w:before="100" w:after="100"/>
        <w:ind w:start="360"/>
        <w:ind w:firstLine="360"/>
      </w:pPr>
      <w:r>
        <w:rPr/>
      </w:r>
      <w:r>
        <w:rPr/>
      </w:r>
      <w:r>
        <w:t xml:space="preserve">(1)  The number of members of the executive board and the titles of the officers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Election by the executive board of a president, treasurer, secretary and any other officers of the association the bylaws specify;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qualifications, powers and duties, terms of office and manner of electing and removing executive board members and officers and filling vacancies;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Which, if any, of its powers the executive board or officers may delegate to other persons or to a managing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Which of its officers may prepare, execute, certify and record amendments to the declaration on behalf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method of amending the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the provisions of the declaration, the bylaws may provide for any other matters the association deems necessary and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 association may not include in its bylaws or declaration, or any rule adopted pursuant to the bylaws or declaration, or any deed a restriction that prohibits a unit owner from displaying on that unit owner's unit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r>
        <w:t xml:space="preserve">  </w:t>
      </w:r>
      <w:r xmlns:wp="http://schemas.openxmlformats.org/drawingml/2010/wordprocessingDrawing" xmlns:w15="http://schemas.microsoft.com/office/word/2012/wordml">
        <w:rPr>
          <w:rFonts w:ascii="Arial" w:hAnsi="Arial" w:cs="Arial"/>
          <w:sz w:val="22"/>
          <w:szCs w:val="22"/>
        </w:rPr>
        <w:t xml:space="preserve">[PL 2015,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2015, c. 271,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§1603-106.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