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Title practices</w:t>
      </w:r>
    </w:p>
    <w:p>
      <w:pPr>
        <w:jc w:val="both"/>
        <w:spacing w:before="100" w:after="100"/>
        <w:ind w:start="360"/>
        <w:ind w:firstLine="360"/>
      </w:pPr>
      <w:r>
        <w:rPr/>
      </w:r>
      <w:r>
        <w:rPr/>
      </w:r>
      <w:r>
        <w:t xml:space="preserve">This chapter does not require that language showing compliance with this chapter be included in a deed and does not require that evidence of compliance with this chapter be recorded in the registry of deeds.  Any attempt to record such evidence is void and has no effect on title.</w:t>
      </w:r>
      <w:r>
        <w:t xml:space="preserve">  </w:t>
      </w:r>
      <w:r xmlns:wp="http://schemas.openxmlformats.org/drawingml/2010/wordprocessingDrawing" xmlns:w15="http://schemas.microsoft.com/office/word/2012/wordml">
        <w:rPr>
          <w:rFonts w:ascii="Arial" w:hAnsi="Arial" w:cs="Arial"/>
          <w:sz w:val="22"/>
          <w:szCs w:val="22"/>
        </w:rPr>
        <w:t xml:space="preserve">[PL 1989, c. 238,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238,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§1025. Title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Title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§1025. TITLE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