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1987, c. 395, §A194 (AMD). PL 1991, c. 456, §§2-8 (AMD). PL 1995, c. 394, §§4,5 (AMD). PL 2003, c. 347, §§1-4 (AMD). PL 2003, c. 347, §25 (AFF). PL 2003, c. 689, §B6 (REV). PL 2007, c. 402, Pt. U,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