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6158</w:t>
        <w:t xml:space="preserve">.  </w:t>
      </w:r>
      <w:r>
        <w:rPr>
          <w:b/>
        </w:rPr>
        <w:t xml:space="preserve">Treatment of fees</w:t>
      </w:r>
    </w:p>
    <w:p>
      <w:pPr>
        <w:jc w:val="both"/>
        <w:spacing w:before="100" w:after="100"/>
        <w:ind w:start="360"/>
        <w:ind w:firstLine="360"/>
      </w:pPr>
      <w:r>
        <w:rPr/>
      </w:r>
      <w:r>
        <w:rPr/>
      </w:r>
      <w:r>
        <w:t xml:space="preserve">The aggregate of fees, examination expense reimbursement and other payments made pursuant to this subchapter are appropriated for the use of the administrator.  Any balances of the funds do not lapse but must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§6158. Treatment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§6158. Treatment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§6158. TREATMENT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