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6127</w:t>
        <w:t xml:space="preserve">.  </w:t>
      </w:r>
      <w:r>
        <w:rPr>
          <w:b/>
        </w:rPr>
        <w:t xml:space="preserve">Multiple licenses</w:t>
      </w:r>
    </w:p>
    <w:p>
      <w:pPr>
        <w:jc w:val="both"/>
        <w:spacing w:before="100" w:after="100"/>
        <w:ind w:start="360"/>
        <w:ind w:firstLine="360"/>
      </w:pPr>
      <w:r>
        <w:rPr/>
      </w:r>
      <w:r>
        <w:rPr/>
      </w:r>
      <w:r>
        <w:t xml:space="preserve">A person licensed under this subchapter is not required to obtain a separate license to engage in either the cashing of checks or the exchange of foreign currency in the State.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§6127. Multiple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§6127. Multiple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§6127. MULTIPLE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