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Changes in control of a licensee</w:t>
      </w:r>
    </w:p>
    <w:p>
      <w:pPr>
        <w:jc w:val="both"/>
        <w:spacing w:before="100" w:after="100"/>
        <w:ind w:start="360"/>
        <w:ind w:firstLine="360"/>
      </w:pPr>
      <w:r>
        <w:rPr/>
      </w:r>
      <w:r>
        <w:rPr/>
      </w:r>
      <w:r>
        <w:t xml:space="preserve">Within 15 days of a change or acquisition of control of a licensee, the licensee shall provide notice of the event to the administrator in writing and in such form as the administrator may prescribe, and with such information, data and records as the administrator may require.  The administrator may waive this notification requirement if, in the administrator's discretion, the change in control does not pose any risk to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§6112. Changes in control of a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Changes in control of a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§6112. CHANGES IN CONTROL OF A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