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Requirement for license</w:t>
      </w:r>
    </w:p>
    <w:p>
      <w:pPr>
        <w:jc w:val="both"/>
        <w:spacing w:before="100" w:after="100"/>
        <w:ind w:start="360"/>
        <w:ind w:firstLine="360"/>
      </w:pPr>
      <w:r>
        <w:rPr/>
      </w:r>
      <w:r>
        <w:rPr/>
      </w:r>
      <w:r>
        <w:t xml:space="preserve">A medical care facility other than a hospital may not operate except under the supervision of a licensed administrator and an individual may not be an administrator of a medical care facility other than a hospital unless that individual is the holder of a current administrator's license or a temporary permit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§1 (AMD). PL 1971, c. 162, §1 (AMD). PL 1971, c. 544, §108 (RP). PL 1985, c. 233, §3 (AMD). PL 1991, c. 341, §§1,2 (AMD). PL 1993, c. 600,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 Requirement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Requirement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 REQUIREMENT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