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Examination of applicants; subjects included;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 EXAMINATION OF APPLICANTS; SUBJECTS INCLUDED;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