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4857</w:t>
        <w:t xml:space="preserve">.  </w:t>
      </w:r>
      <w:r>
        <w:rPr>
          <w:b/>
        </w:rPr>
        <w:t xml:space="preserve">Removal</w:t>
      </w:r>
    </w:p>
    <w:p>
      <w:pPr>
        <w:jc w:val="both"/>
        <w:spacing w:before="100" w:after="100"/>
        <w:ind w:start="360"/>
        <w:ind w:firstLine="360"/>
      </w:pPr>
      <w:r>
        <w:rPr/>
      </w:r>
      <w:r>
        <w:rPr/>
      </w:r>
      <w:r>
        <w:t xml:space="preserve">Members of the board may be removed by the Governor for cause, after notice and hearing.</w:t>
      </w:r>
      <w:r>
        <w:t xml:space="preserve">  </w:t>
      </w:r>
      <w:r xmlns:wp="http://schemas.openxmlformats.org/drawingml/2010/wordprocessingDrawing" xmlns:w15="http://schemas.microsoft.com/office/word/2012/wordml">
        <w:rPr>
          <w:rFonts w:ascii="Arial" w:hAnsi="Arial" w:cs="Arial"/>
          <w:sz w:val="22"/>
          <w:szCs w:val="22"/>
        </w:rPr>
        <w:t xml:space="preserve">[PL 1989, c. 450,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1989, c. 450,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§4857.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§4857.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§4857.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