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4852</w:t>
        <w:t xml:space="preserve">.  </w:t>
      </w:r>
      <w:r>
        <w:rPr>
          <w:b/>
        </w:rPr>
        <w:t xml:space="preserve">Short Title</w:t>
      </w:r>
    </w:p>
    <w:p>
      <w:pPr>
        <w:jc w:val="both"/>
        <w:spacing w:before="100" w:after="100"/>
        <w:ind w:start="360"/>
        <w:ind w:firstLine="360"/>
      </w:pPr>
      <w:r>
        <w:rPr/>
      </w:r>
      <w:r>
        <w:rPr/>
      </w:r>
      <w:r>
        <w:t xml:space="preserve">This chapter is known and may be cited as the "Maine Veterinary Practice Act."</w:t>
      </w:r>
      <w:r>
        <w:t xml:space="preserve">  </w:t>
      </w:r>
      <w:r xmlns:wp="http://schemas.openxmlformats.org/drawingml/2010/wordprocessingDrawing" xmlns:w15="http://schemas.microsoft.com/office/word/2012/wordml">
        <w:rPr>
          <w:rFonts w:ascii="Arial" w:hAnsi="Arial" w:cs="Arial"/>
          <w:sz w:val="22"/>
          <w:szCs w:val="22"/>
        </w:rPr>
        <w:t xml:space="preserve">[PL 1997, c. 246,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§4852.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