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Meetings; chair</w:t>
      </w:r>
    </w:p>
    <w:p>
      <w:pPr>
        <w:jc w:val="both"/>
        <w:spacing w:before="100" w:after="100"/>
        <w:ind w:start="360"/>
        <w:ind w:firstLine="360"/>
      </w:pPr>
      <w:r>
        <w:rPr/>
      </w:r>
      <w:r>
        <w:rPr/>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[PL 2013, c. 246,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1977, c. 694, §§540,541 (AMD). PL 1983, c. 413, §4 (RPR). PL 1987, c. 395, §A109 (AMD). PL 1993, c. 389, §7 (AMD). PL 1999, c. 687, §E3 (AMD). PL 2007, c. 402, Pt. F, §4 (AMD). PL 2013, c. 246,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§213. Meetings; chair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Meetings; chair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§213. MEETINGS; CHAIR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