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Criminal history record information; fees</w:t>
      </w:r>
    </w:p>
    <w:p>
      <w:pPr>
        <w:jc w:val="both"/>
        <w:spacing w:before="100" w:after="100"/>
        <w:ind w:start="360"/>
        <w:ind w:firstLine="360"/>
      </w:pPr>
      <w:r>
        <w:rPr>
          <w:b/>
        </w:rPr>
        <w:t>1</w:t>
        <w:t xml:space="preserve">.  </w:t>
      </w:r>
      <w:r>
        <w:rPr>
          <w:b/>
        </w:rPr>
        <w:t xml:space="preserve">Background check.</w:t>
        <w:t xml:space="preserve"> </w:t>
      </w:r>
      <w:r>
        <w:t xml:space="preserve"> </w:t>
      </w:r>
      <w:r>
        <w:t xml:space="preserve">The board shall request a background check for each person who submits an application for initial licensure or licensure by endorsement under this chapter, including an application for multistate licensure under </w:t>
      </w:r>
      <w:r>
        <w:t>subchapter 2‑A</w:t>
      </w:r>
      <w:r>
        <w:t xml:space="preserve">.  The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C</w:t>
        <w:t xml:space="preserve">.  </w:t>
      </w:r>
      <w:r>
        <w:rPr/>
      </w:r>
      <w:r>
        <w:t xml:space="preserve">An applicant shall submit to having fingerprints taken.  The State Police, upon payment of a fee established by the board by rule by the applicant,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E</w:t>
        <w:t xml:space="preserve">.  </w:t>
      </w:r>
      <w:r>
        <w:rPr/>
      </w:r>
      <w:r>
        <w:t xml:space="preserve">State and federal criminal history record information may be used by the board for the purpose of screening each applicant.  A board action against an applicant under this subsection is subject to the provisions of </w:t>
      </w:r>
      <w:r>
        <w:t>Title 5, chapter 341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F</w:t>
        <w:t xml:space="preserve">.  </w:t>
      </w:r>
      <w:r>
        <w:rPr/>
      </w:r>
      <w:r>
        <w:t xml:space="preserve">Information obtained pursuant to this subsection is confidential.  The results of background checks received by the board are for official use only and may not be disseminated to the Interstate Commission of Nurse Licensure Compact Administrators established in </w:t>
      </w:r>
      <w:r>
        <w:t>section 2177</w:t>
      </w:r>
      <w:r>
        <w:t xml:space="preserve"> or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w:pPr>
        <w:jc w:val="both"/>
        <w:spacing w:before="100" w:after="0"/>
        <w:ind w:start="720"/>
      </w:pPr>
      <w:r>
        <w:rPr/>
        <w:t>G</w:t>
        <w:t xml:space="preserve">.  </w:t>
      </w:r>
      <w:r>
        <w:rPr/>
      </w:r>
      <w:r>
        <w:t xml:space="preserve">An applicant whose license has expired and who has not applied for renewal may request in writing that the State Bureau of Identification remove the applicant's fingerprints from the bureau's fingerprint file.  In response to a written request, the bureau shall remove the applicant's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258,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w:t>
      </w:r>
    </w:p>
    <w:p>
      <w:pPr>
        <w:jc w:val="both"/>
        <w:spacing w:before="100" w:after="0"/>
        <w:ind w:start="360"/>
        <w:ind w:firstLine="360"/>
      </w:pPr>
      <w:r>
        <w:rPr>
          <w:b/>
        </w:rPr>
        <w:t>2</w:t>
        <w:t xml:space="preserve">.  </w:t>
      </w:r>
      <w:r>
        <w:rPr>
          <w:b/>
        </w:rPr>
        <w:t xml:space="preserve">Rules.</w:t>
        <w:t xml:space="preserve"> </w:t>
      </w:r>
      <w:r>
        <w:t xml:space="preserve"> </w:t>
      </w:r>
      <w:r>
        <w:t xml:space="preserve">The board, following consultation with the State Bureau of Identification,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B,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§2111. Criminal history record information;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Criminal history record information;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§2111. CRIMINAL HISTORY RECORD INFORMATION;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