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Criminal violations; penalties</w:t>
      </w:r>
    </w:p>
    <w:p>
      <w:pPr>
        <w:jc w:val="both"/>
        <w:spacing w:before="100" w:after="100"/>
        <w:ind w:start="360"/>
        <w:ind w:firstLine="360"/>
      </w:pPr>
      <w:r>
        <w:rPr/>
      </w:r>
      <w:r>
        <w:rPr/>
      </w:r>
      <w:r>
        <w:t xml:space="preserve">It is a crime for any person, including a corporation, or association or individual, to:</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w:pPr>
        <w:jc w:val="both"/>
        <w:spacing w:before="100" w:after="0"/>
        <w:ind w:start="360"/>
        <w:ind w:firstLine="360"/>
      </w:pPr>
      <w:r>
        <w:rPr>
          <w:b/>
        </w:rPr>
        <w:t>1</w:t>
        <w:t xml:space="preserve">.  </w:t>
      </w:r>
      <w:r>
        <w:rPr>
          <w:b/>
        </w:rPr>
        <w:t xml:space="preserve">Fraudulent diploma or record.</w:t>
        <w:t xml:space="preserve"> </w:t>
      </w:r>
      <w:r>
        <w:t xml:space="preserve"> </w:t>
      </w:r>
      <w:r>
        <w:t xml:space="preserve">Sell or fraudulently obtain or furnish a nursing diploma, license, renewal or record or provide aid in doing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2</w:t>
        <w:t xml:space="preserve">.  </w:t>
      </w:r>
      <w:r>
        <w:rPr>
          <w:b/>
        </w:rPr>
        <w:t xml:space="preserve">Fraudulent license.</w:t>
        <w:t xml:space="preserve"> </w:t>
      </w:r>
      <w:r>
        <w:t xml:space="preserve"> </w:t>
      </w:r>
      <w:r>
        <w:t xml:space="preserve">Practice nursing as defined by this chapter under cover of a diploma, license or record illegally or fraudulently obtained or signed or issued unlawfully or under fraudulent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3</w:t>
        <w:t xml:space="preserve">.  </w:t>
      </w:r>
      <w:r>
        <w:rPr>
          <w:b/>
        </w:rPr>
        <w:t xml:space="preserve">Practice without license.</w:t>
        <w:t xml:space="preserve"> </w:t>
      </w:r>
      <w:r>
        <w:t xml:space="preserve"> </w:t>
      </w:r>
      <w:r>
        <w:t xml:space="preserve">Practice professional nursing or practical nursing as defined by this chapter unless licensed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4</w:t>
        <w:t xml:space="preserve">.  </w:t>
      </w:r>
      <w:r>
        <w:rPr>
          <w:b/>
        </w:rPr>
        <w:t xml:space="preserve">Implying license.</w:t>
        <w:t xml:space="preserve"> </w:t>
      </w:r>
      <w:r>
        <w:t xml:space="preserve"> </w:t>
      </w:r>
      <w:r>
        <w:t xml:space="preserve">Use in connection with the person's name a designation tending to imply that the person is a licensed registered nurse or a licensed practical nurse unless so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5</w:t>
        <w:t xml:space="preserve">.  </w:t>
      </w:r>
      <w:r>
        <w:rPr>
          <w:b/>
        </w:rPr>
        <w:t xml:space="preserve">License suspended or revoked.</w:t>
        <w:t xml:space="preserve"> </w:t>
      </w:r>
      <w:r>
        <w:t xml:space="preserve"> </w:t>
      </w:r>
      <w:r>
        <w:t xml:space="preserve">Practice professional nursing or practical nursing during the time the person's license issued under this chapter is suspended or revoked;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§15 (AMD).]</w:t>
      </w:r>
    </w:p>
    <w:p>
      <w:pPr>
        <w:jc w:val="both"/>
        <w:spacing w:before="100" w:after="0"/>
        <w:ind w:start="360"/>
        <w:ind w:firstLine="360"/>
      </w:pPr>
      <w:r>
        <w:rPr>
          <w:b/>
        </w:rPr>
        <w:t>6</w:t>
        <w:t xml:space="preserve">.  </w:t>
      </w:r>
      <w:r>
        <w:rPr>
          <w:b/>
        </w:rPr>
        <w:t xml:space="preserve">Violation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§97 (RP); PL 2001, c. 421, Pt. C, §1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§15 (RPR).]</w:t>
      </w:r>
    </w:p>
    <w:p>
      <w:pPr>
        <w:jc w:val="both"/>
        <w:spacing w:before="100" w:after="100"/>
        <w:ind w:start="360"/>
        <w:ind w:firstLine="360"/>
      </w:pPr>
      <w:r>
        <w:rPr/>
      </w:r>
      <w:r>
        <w:rPr/>
      </w:r>
      <w:r>
        <w:t xml:space="preserve">The District Court has original and concurrent jurisdiction with the Superior Court over all prosecutions for violation of this chapter. All fines and forfeitures collected under this chapter must accrue to the county where the offense is prosecuted. It is necessary to prove in a prosecution or hearing under this section only a single act prohibited by law or a single holding out or an attempt without proving a general course of conduct in order to constitute a violation. These crimes are prosecuted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§5 (AMD). PL 1973, c. 567, §20 (AMD). PL 1991, c. 797, §15 (AMD). PL 1993, c. 600, §A117 (AMD). PL 2001, c. 421, §B97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§2106. Criminal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Criminal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§2106. CRIMINAL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