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18227</w:t>
        <w:t xml:space="preserve">.  </w:t>
      </w:r>
      <w:r>
        <w:rPr>
          <w:b/>
        </w:rPr>
        <w:t xml:space="preserve">Applicants licensed in another jurisdiction</w:t>
      </w:r>
    </w:p>
    <w:p>
      <w:pPr>
        <w:jc w:val="both"/>
        <w:spacing w:before="100" w:after="100"/>
        <w:ind w:start="360"/>
        <w:ind w:firstLine="360"/>
      </w:pPr>
      <w:r>
        <w:rPr/>
      </w:r>
      <w:r>
        <w:rPr/>
      </w:r>
      <w:r>
        <w:t xml:space="preserve">An applicant who is licensed, in good standing, under the laws of another jurisdiction may qualify for licensure under this chapter by submitting evidence satisfactory to the board that the applicant has met all of the qualifications for licensure equivalent to those set forth by this chapter for that level of licensure.  The applicant may be required to take examinations as the board determines necessary to determine the applicant's qualifications.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§18227. Applicants licensed in another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§18227. Applicants licensed in another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§18227. APPLICANTS LICENSED IN ANOTHER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