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18224</w:t>
        <w:t xml:space="preserve">.  </w:t>
      </w:r>
      <w:r>
        <w:rPr>
          <w:b/>
        </w:rPr>
        <w:t xml:space="preserve">Professional land surveyor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professional land surveyor license entitles the holder to perform land surveying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professional land surveyor license must:</w:t>
      </w:r>
    </w:p>
    <w:p>
      <w:pPr>
        <w:jc w:val="both"/>
        <w:spacing w:before="100" w:after="0"/>
        <w:ind w:start="720"/>
      </w:pPr>
      <w:r>
        <w:rPr/>
        <w:t>A</w:t>
        <w:t xml:space="preserve">.  </w:t>
      </w:r>
      <w:r>
        <w:rPr/>
      </w:r>
      <w:r>
        <w:t xml:space="preserve">Be a land surveyor-in-training in this State or hold a license from another jurisdiction with qualifications similar to those required for a land surveyor-in-training under </w:t>
      </w:r>
      <w:r>
        <w:t>section 18223</w:t>
      </w:r>
      <w:r>
        <w:t xml:space="preserve">, and have a specific record of 2 additional years of progressive combined office and field experience acceptable to the board;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Successfully pass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§18224. Professional land surveyor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§18224. Professional land surveyor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§18224. PROFESSIONAL LAND SURVEYOR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