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department shall adopt rules necessary for the implementation, administration and enforcement of this chapter.  Except as otherwise provided in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§A12 (AMD). PL 2011, c. 657, Pt. W, §5 (REV). PL 2019, c. 277,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