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17203</w:t>
        <w:t xml:space="preserve">.  </w:t>
      </w:r>
      <w:r>
        <w:rPr>
          <w:b/>
        </w:rPr>
        <w:t xml:space="preserve">Powers and duties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2007, c. 369, Pt. C, §3 (NEW); PL 2007, c. 369, Pt. C, §5 (AFF).]</w:t>
      </w:r>
    </w:p>
    <w:p>
      <w:pPr>
        <w:jc w:val="both"/>
        <w:spacing w:before="100" w:after="0"/>
        <w:ind w:start="360"/>
        <w:ind w:firstLine="360"/>
      </w:pPr>
      <w:r>
        <w:rPr>
          <w:b/>
        </w:rPr>
        <w:t>1</w:t>
        <w:t xml:space="preserve">.  </w:t>
      </w:r>
      <w:r>
        <w:rPr>
          <w:b/>
        </w:rPr>
        <w:t xml:space="preserve">Board to administer, coordinate and enforce.</w:t>
        <w:t xml:space="preserve"> </w:t>
      </w:r>
      <w:r>
        <w:t xml:space="preserve"> </w:t>
      </w:r>
      <w:r>
        <w:t xml:space="preserve">The board shall administer, coordinate and enforce this chapter and evaluate the qualifications of and approve the examinations to be taken by applicants for licensure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w:pPr>
        <w:jc w:val="both"/>
        <w:spacing w:before="100" w:after="0"/>
        <w:ind w:start="360"/>
        <w:ind w:firstLine="360"/>
      </w:pPr>
      <w:r>
        <w:rPr>
          <w:b/>
        </w:rPr>
        <w:t>2</w:t>
        <w:t xml:space="preserve">.  </w:t>
      </w:r>
      <w:r>
        <w:rPr>
          <w:b/>
        </w:rPr>
        <w:t xml:space="preserve">Rules.</w:t>
        <w:t xml:space="preserve"> </w:t>
      </w:r>
      <w:r>
        <w:t xml:space="preserve"> </w:t>
      </w:r>
      <w:r>
        <w:t xml:space="preserve">The board may, in accordance with the Maine Administrative Procedure Act, adopt rules commensurate with the authority vested in it by this chapter, including, but not limited to, rules relating to professional conduct and establishing ethical standards of practice. The board, by rule, shall set the standard of professional conduct of every individual that holds a license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369, Pt. C, §3 (NEW). PL 2007, c. 369, Pt. C,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§17203.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§17203.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§17203.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