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14308-A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commissioner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II, §9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applicant's or licensee's performing services in a manner that endangers the health or safety of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§148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current medical finding of mental incompetence that affects the applicant's or licensee's ability to perform that person's occupation in a healthy and safe manner;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w:pPr>
        <w:jc w:val="both"/>
        <w:spacing w:before="100" w:after="0"/>
        <w:ind w:start="360"/>
        <w:ind w:firstLine="360"/>
      </w:pPr>
      <w:r>
        <w:rPr>
          <w:b/>
        </w:rPr>
        <w:t>3</w:t>
        <w:t xml:space="preserve">.  </w:t>
      </w:r>
      <w:r>
        <w:rPr>
          <w:b/>
        </w:rPr>
        <w:t xml:space="preserve">Revocation or denial.</w:t>
        <w:t xml:space="preserve"> </w:t>
      </w:r>
      <w:r>
        <w:t xml:space="preserve"> </w:t>
      </w:r>
      <w:r>
        <w:t xml:space="preserve">Revocation in any state of a professional or occupational license, certification or registration for disciplinary reasons or rejection of any application for reasons related to untrustworthiness, within 3 years of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 PL 2017, c. 407, Pt. A, §148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§14308-A.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§14308-A.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§14308-A.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