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14235-A</w:t>
        <w:t xml:space="preserve">.  </w:t>
      </w:r>
      <w:r>
        <w:rPr>
          <w:b/>
        </w:rPr>
        <w:t xml:space="preserve">Licenses; initial</w:t>
      </w:r>
    </w:p>
    <w:p>
      <w:pPr>
        <w:jc w:val="both"/>
        <w:spacing w:before="100" w:after="100"/>
        <w:ind w:start="360"/>
        <w:ind w:firstLine="360"/>
      </w:pPr>
      <w:r>
        <w:rPr/>
      </w:r>
      <w:r>
        <w:rPr/>
      </w:r>
      <w:r>
        <w:t xml:space="preserve">An applicant for initial licensure must submit an application together with the fee set under </w:t>
      </w:r>
      <w:r>
        <w:t>section 14238</w:t>
      </w:r>
      <w:r>
        <w:t xml:space="preserve"> and meet the requirements set forth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369, Pt. B,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§14235-A. Licenses; initial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§14235-A. Licenses; initial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§14235-A. LICENSES; INITIAL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