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14022</w:t>
        <w:t xml:space="preserve">.  </w:t>
      </w:r>
      <w:r>
        <w:rPr>
          <w:b/>
        </w:rPr>
        <w:t xml:space="preserve">Place of business</w:t>
      </w:r>
    </w:p>
    <w:p>
      <w:pPr>
        <w:jc w:val="both"/>
        <w:spacing w:before="100" w:after="100"/>
        <w:ind w:start="360"/>
        <w:ind w:firstLine="360"/>
      </w:pPr>
      <w:r>
        <w:rPr/>
      </w:r>
      <w:r>
        <w:rPr/>
      </w:r>
      <w:r>
        <w:t xml:space="preserve">A licensee shall designate and maintain a principal place of business where real estate appraisal records may be inspected for purposes consistent with this chapter.  A nonresident is not required to maintain a place of business in this State if the nonresident maintains an active place of business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2013, c. 217, Pt. 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2009, c. 112, Pt. A, §21 (AMD). PL 2013, c. 217, Pt. H,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§14022.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§14022.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§14022.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