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13867</w:t>
        <w:t xml:space="preserve">.  </w:t>
      </w:r>
      <w:r>
        <w:rPr>
          <w:b/>
        </w:rPr>
        <w:t xml:space="preserve">Duty to warn and protect</w:t>
      </w:r>
    </w:p>
    <w:p>
      <w:pPr>
        <w:jc w:val="both"/>
        <w:spacing w:before="100" w:after="100"/>
        <w:ind w:start="360"/>
      </w:pPr>
      <w:r>
        <w:rPr>
          <w:b/>
        </w:rPr>
        <w:t>(REALLOCATED FROM TITLE 32, SECTION 13866)</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client's violent behavior if the licensee has a reasonable belief based on communications with the client that the client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w:t>
      </w:r>
      <w:r>
        <w:t>subsection 1</w:t>
      </w:r>
      <w:r>
        <w:t xml:space="preserve"> may discharge that duty if the licensee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§13867.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§13867.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§13867.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