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13753</w:t>
        <w:t xml:space="preserve">.  </w:t>
      </w:r>
      <w:r>
        <w:rPr>
          <w:b/>
        </w:rPr>
        <w:t xml:space="preserve">Notifications</w:t>
      </w:r>
    </w:p>
    <w:p>
      <w:pPr>
        <w:jc w:val="both"/>
        <w:spacing w:before="100" w:after="100"/>
        <w:ind w:start="360"/>
        <w:ind w:firstLine="360"/>
      </w:pPr>
      <w:r>
        <w:rPr>
          <w:b/>
        </w:rPr>
        <w:t>1</w:t>
        <w:t xml:space="preserve">.  </w:t>
      </w:r>
      <w:r>
        <w:rPr>
          <w:b/>
        </w:rPr>
        <w:t xml:space="preserve">Changes.</w:t>
        <w:t xml:space="preserve"> </w:t>
      </w:r>
      <w:r>
        <w:t xml:space="preserve"> </w:t>
      </w:r>
      <w:r>
        <w:t xml:space="preserve">All licensed pharmacies shall report to the board, by mail, fax or electronic communication as accepted by the board, the occurrence of any of the following changes:</w:t>
      </w:r>
    </w:p>
    <w:p>
      <w:pPr>
        <w:jc w:val="both"/>
        <w:spacing w:before="100" w:after="0"/>
        <w:ind w:start="720"/>
      </w:pPr>
      <w:r>
        <w:rPr/>
        <w:t>A</w:t>
        <w:t xml:space="preserve">.  </w:t>
      </w:r>
      <w:r>
        <w:rPr/>
      </w:r>
      <w:r>
        <w:t xml:space="preserve">Permanent closing, which requires 10 calendar days' prior notice to the public and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B</w:t>
        <w:t xml:space="preserve">.  </w:t>
      </w:r>
      <w:r>
        <w:rPr/>
      </w:r>
      <w:r>
        <w:t xml:space="preserve">Change of ownership, which requires 10 calendar days' prior notice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C</w:t>
        <w:t xml:space="preserve">.  </w:t>
      </w:r>
      <w:r>
        <w:rPr/>
      </w:r>
      <w:r>
        <w:t xml:space="preserve">Change of pharmacist, in charge which requires notice no later than 10 calendar days after the change; and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D</w:t>
        <w:t xml:space="preserve">.  </w:t>
      </w:r>
      <w:r>
        <w:rPr/>
      </w:r>
      <w:r>
        <w:t xml:space="preserve">Any other matters and occurrences as the board may require by rule.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§12 (AMD).]</w:t>
      </w:r>
    </w:p>
    <w:p>
      <w:pPr>
        <w:jc w:val="both"/>
        <w:spacing w:before="100" w:after="0"/>
        <w:ind w:start="360"/>
        <w:ind w:firstLine="360"/>
      </w:pPr>
      <w:r>
        <w:rPr>
          <w:b/>
        </w:rPr>
        <w:t>2</w:t>
        <w:t xml:space="preserve">.  </w:t>
      </w:r>
      <w:r>
        <w:rPr>
          <w:b/>
        </w:rPr>
        <w:t xml:space="preserve">Other reportable events.</w:t>
        <w:t xml:space="preserve"> </w:t>
      </w:r>
      <w:r>
        <w:t xml:space="preserve"> </w:t>
      </w:r>
      <w:r>
        <w:t xml:space="preserve">Disasters, accidents and emergencies which may affect the strength, purity or labeling of drugs, medications, devices or other materials used in the diagnosis or the treatment of injury, illness and disease shall be immediately reported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§26 (AMD). PL 2021, c. 289,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§13753. Notifications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§13753. Notifications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§13753. NOTIFICATIONS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