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13752</w:t>
        <w:t xml:space="preserve">.  </w:t>
      </w:r>
      <w:r>
        <w:rPr>
          <w:b/>
        </w:rPr>
        <w:t xml:space="preserve">Application</w:t>
      </w:r>
    </w:p>
    <w:p>
      <w:pPr>
        <w:jc w:val="both"/>
        <w:spacing w:before="100" w:after="0"/>
        <w:ind w:start="360"/>
        <w:ind w:firstLine="360"/>
      </w:pPr>
      <w:r>
        <w:rPr>
          <w:b/>
        </w:rPr>
        <w:t>1</w:t>
        <w:t xml:space="preserve">.  </w:t>
      </w:r>
      <w:r>
        <w:rPr>
          <w:b/>
        </w:rPr>
        <w:t xml:space="preserve">Procedures.</w:t>
        <w:t xml:space="preserve"> </w:t>
      </w:r>
      <w:r>
        <w:t xml:space="preserve"> </w:t>
      </w:r>
      <w:r>
        <w:t xml:space="preserve">The board shall specify by rule the licensing procedures to be followed, including, but not limited to, specification of forms for use in applying for licensure and the times and places for filing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Applications for licenses must include the fee as set under </w:t>
      </w:r>
      <w:r>
        <w:t>section 13724</w:t>
      </w:r>
      <w:r>
        <w:t xml:space="preserve"> and the following information about the proposed pharmacy and pharmacist in charge:</w:t>
      </w:r>
    </w:p>
    <w:p>
      <w:pPr>
        <w:jc w:val="both"/>
        <w:spacing w:before="100" w:after="0"/>
        <w:ind w:start="720"/>
      </w:pPr>
      <w:r>
        <w:rPr/>
        <w:t>A</w:t>
        <w:t xml:space="preserve">.  </w:t>
      </w:r>
      <w:r>
        <w:rPr/>
      </w:r>
      <w:r>
        <w:t xml:space="preserve">Ownership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B</w:t>
        <w:t xml:space="preserve">.  </w:t>
      </w:r>
      <w:r>
        <w:rPr/>
      </w:r>
      <w:r>
        <w:t xml:space="preserve">Location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C</w:t>
        <w:t xml:space="preserve">.  </w:t>
      </w:r>
      <w:r>
        <w:rPr/>
      </w:r>
      <w:r>
        <w:t xml:space="preserve">Identity of the pharmacist licensed to practice in the State who will be the pharmacist in charge of the pharmacy, when one is required by this chapter, and such further information as the board may determine necessary.  The board shall adopt rules identifying the duties and responsibilities of the pharmacist in charge, which must include, at a minimum, responsibility for ensuring the pharmacy's compliance with all state and federal laws, rules and regulations pertaining to the practice of pharmacy, the distribution of drugs by the pharmacy and the licensure of pharmacy personnel.  A pharmacist may be the pharmacist in charge for only one pharmacy, except as otherwise determined by the board by rule. The position of pharmacist in charge may not be held by a qualified assistant pharmacist; and</w:t>
      </w:r>
      <w:r>
        <w:t xml:space="preserve">  </w:t>
      </w:r>
      <w:r xmlns:wp="http://schemas.openxmlformats.org/drawingml/2010/wordprocessingDrawing" xmlns:w15="http://schemas.microsoft.com/office/word/2012/wordml">
        <w:rPr>
          <w:rFonts w:ascii="Arial" w:hAnsi="Arial" w:cs="Arial"/>
          <w:sz w:val="22"/>
          <w:szCs w:val="22"/>
        </w:rPr>
        <w:t xml:space="preserve">[PL 2021, c. 289, §10 (AMD).]</w:t>
      </w:r>
    </w:p>
    <w:p>
      <w:pPr>
        <w:jc w:val="both"/>
        <w:spacing w:before="100" w:after="0"/>
        <w:ind w:start="720"/>
      </w:pPr>
      <w:r>
        <w:rPr/>
        <w:t>D</w:t>
        <w:t xml:space="preserve">.  </w:t>
      </w:r>
      <w:r>
        <w:rPr/>
      </w:r>
      <w:r>
        <w:t xml:space="preserve">Attestation by the pharmacist identified as the pharmacist in charge that the pharmacist has read and understands the requirements and duties of a pharmacist in charge set forth in board rules.</w:t>
      </w:r>
      <w:r>
        <w:t xml:space="preserve">  </w:t>
      </w:r>
      <w:r xmlns:wp="http://schemas.openxmlformats.org/drawingml/2010/wordprocessingDrawing" xmlns:w15="http://schemas.microsoft.com/office/word/2012/wordml">
        <w:rPr>
          <w:rFonts w:ascii="Arial" w:hAnsi="Arial" w:cs="Arial"/>
          <w:sz w:val="22"/>
          <w:szCs w:val="22"/>
        </w:rPr>
        <w:t xml:space="preserve">[PL 2021,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§§10, 11 (AMD).]</w:t>
      </w:r>
    </w:p>
    <w:p>
      <w:pPr>
        <w:jc w:val="both"/>
        <w:spacing w:before="100" w:after="0"/>
        <w:ind w:start="360"/>
        <w:ind w:firstLine="360"/>
      </w:pPr>
      <w:r>
        <w:rPr>
          <w:b/>
        </w:rPr>
        <w:t>3</w:t>
        <w:t xml:space="preserve">.  </w:t>
      </w:r>
      <w:r>
        <w:rPr>
          <w:b/>
        </w:rPr>
        <w:t xml:space="preserve">Transferability.</w:t>
        <w:t xml:space="preserve"> </w:t>
      </w:r>
      <w:r>
        <w:t xml:space="preserve"> </w:t>
      </w:r>
      <w:r>
        <w:t xml:space="preserve">Licenses issued by the board pursuant to this chapter are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The board shall specify by rule minimum standards for the professional responsibility in the conduct of any pharmacy that has employees or personnel engaged in the practice of pharmacy. The board may require that the portion of the facility to which the license applies be operated only under the direct supervision of no less than one pharmacist licensed to practice in this State and not otherwise and to provide such other special requirements as necessary.  A change in the pharmacist in charge who is responsible for the pharmacy must be reported to the board together with the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5</w:t>
        <w:t xml:space="preserve">.  </w:t>
      </w:r>
      <w:r>
        <w:rPr>
          <w:b/>
        </w:rPr>
        <w:t xml:space="preserve">Minimum inventory.</w:t>
        <w:t xml:space="preserve"> </w:t>
      </w:r>
      <w:r>
        <w:t xml:space="preserve"> </w:t>
      </w:r>
      <w:r>
        <w:t xml:space="preserve">The board shall ascertain that the applicant has a sufficient amount of prescription inventory on location to respond appropriately to prescription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§11 (AMD). PL 2005, c. 262, §§B12-14 (AMD). PL 2007, c. 402, Pt. DD, §24 (AMD). PL 2021, c. 289,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§13752.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