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Fees</w:t>
      </w:r>
    </w:p>
    <w:p>
      <w:pPr>
        <w:jc w:val="both"/>
        <w:spacing w:before="100" w:after="100"/>
        <w:ind w:start="360"/>
        <w:ind w:firstLine="360"/>
      </w:pPr>
      <w:r>
        <w:rPr/>
      </w:r>
      <w:r>
        <w:rPr/>
      </w:r>
      <w:r>
        <w:t xml:space="preserve">The commissioner shall set fees for licensure, certification and registration which shall be just sufficient to cover the costs of implementing this chapter.  A person licensed as a fire sprinkler system contractor who wishes to be certified as a responsible managing supervisor shall not be required to pay a fee for that certification.  A person certified as a professional engineer by the State shall not be required to pay a fee for either being licensed as a fire sprinkler system contractor or being certified as a responsible managing supervisor.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100"/>
        <w:ind w:start="360"/>
        <w:ind w:firstLine="360"/>
      </w:pPr>
      <w:r>
        <w:rPr/>
      </w:r>
      <w:r>
        <w:rPr/>
      </w:r>
      <w:r>
        <w:t xml:space="preserve">All fees received by the department shall be paid to the State Treasurer and shall be used for carrying out this chapter.  Any balance of these fees shall not lapse but shall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