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Examinations</w:t>
      </w:r>
    </w:p>
    <w:p>
      <w:pPr>
        <w:jc w:val="both"/>
        <w:spacing w:before="100" w:after="100"/>
        <w:ind w:start="360"/>
        <w:ind w:firstLine="360"/>
      </w:pPr>
      <w:r>
        <w:rPr/>
      </w:r>
      <w:r>
        <w:rPr/>
      </w:r>
      <w:r>
        <w:t xml:space="preserve">The passing grade on any examination is established by the national council.</w:t>
      </w:r>
      <w:r>
        <w:t xml:space="preserve">  </w:t>
      </w:r>
      <w:r xmlns:wp="http://schemas.openxmlformats.org/drawingml/2010/wordprocessingDrawing" xmlns:w15="http://schemas.microsoft.com/office/word/2012/wordml">
        <w:rPr>
          <w:rFonts w:ascii="Arial" w:hAnsi="Arial" w:cs="Arial"/>
          <w:sz w:val="22"/>
          <w:szCs w:val="22"/>
        </w:rPr>
        <w:t xml:space="preserve">[PL 2021,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§2 (AMD). PL 1995, c. 355, §13 (AMD). PL 1999, c. 186, §8 (AMD). PL 2013, c. 296, §5 (AMD). PL 2019, c. 375, §16 (AMD). PL 2021, c. 505,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§1354.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§1354.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