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13276</w:t>
        <w:t xml:space="preserve">.  </w:t>
      </w:r>
      <w:r>
        <w:rPr>
          <w:b/>
        </w:rPr>
        <w:t xml:space="preserve">Interpretation</w:t>
      </w:r>
    </w:p>
    <w:p>
      <w:pPr>
        <w:jc w:val="both"/>
        <w:spacing w:before="100" w:after="100"/>
        <w:ind w:start="360"/>
        <w:ind w:firstLine="360"/>
      </w:pPr>
      <w:r>
        <w:rPr/>
      </w:r>
      <w:r>
        <w:rPr/>
      </w:r>
      <w:r>
        <w:t xml:space="preserve">The provisions of this subchapter supersede the duties and responsibilities of the parties under the common law, including fiduciary responsibilities of an agent to a client or principal, except with regard to vicarious liability and except as set forth in this subchapter.  This section does not preclude the use of common law, when it is not inconsistent with this subchapter, in defining and interpreting the duties listed in </w:t>
      </w:r>
      <w:r>
        <w:t>section 13272</w:t>
      </w:r>
      <w:r>
        <w:t xml:space="preserve">.  This section does not abrogate an injured party's cause of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§13276.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§13276.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§13276.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