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13196</w:t>
        <w:t xml:space="preserve">.  </w:t>
      </w:r>
      <w:r>
        <w:rPr>
          <w:b/>
        </w:rPr>
        <w:t xml:space="preserve">Inactive licenses</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Any licensee who does not desire to perform any of the activities described in </w:t>
      </w:r>
      <w:r>
        <w:t>section 13001</w:t>
      </w:r>
      <w:r>
        <w:t xml:space="preserve"> and who wants to preserve the license while not engaged in any brokerage activity may apply to the commission for inactive status upon payment of the fee as set under </w:t>
      </w:r>
      <w:r>
        <w:t>section 13007</w:t>
      </w:r>
      <w:r>
        <w:t xml:space="preserve">. The commission may place the license on inactive status and issue an inactive license only upon application by the licensee. During inactive status, the licensee is required to renew the license biennially, but is not required to maintain a place of business or meet the educational provisions of </w:t>
      </w:r>
      <w:r>
        <w:t>section 13197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w:pPr>
        <w:jc w:val="both"/>
        <w:spacing w:before="100" w:after="100"/>
        <w:ind w:start="360"/>
        <w:ind w:firstLine="360"/>
      </w:pPr>
      <w:r>
        <w:rPr>
          <w:b/>
        </w:rPr>
        <w:t>2</w:t>
        <w:t xml:space="preserve">.  </w:t>
      </w:r>
      <w:r>
        <w:rPr>
          <w:b/>
        </w:rPr>
        <w:t xml:space="preserve">Reinstatement to active status.</w:t>
        <w:t xml:space="preserve"> </w:t>
      </w:r>
      <w:r>
        <w:t xml:space="preserve"> </w:t>
      </w:r>
      <w:r>
        <w:t xml:space="preserve">Licensees who have remained on inactive status for 6 years or more may have their licenses reinstated to active status by submitting an application and fee and by successfully passing a license examination designated by commission rule for this purpose.  Licensees who activate within 6 years of the initial inactive license may activate by successfully completing the designated examination or by completing continuing education courses that meet commission approved clock hours as follows:</w:t>
      </w:r>
    </w:p>
    <w:p>
      <w:pPr>
        <w:jc w:val="both"/>
        <w:spacing w:before="100" w:after="0"/>
        <w:ind w:start="720"/>
      </w:pPr>
      <w:r>
        <w:rPr/>
        <w:t>A</w:t>
        <w:t xml:space="preserve">.  </w:t>
      </w:r>
      <w:r>
        <w:rPr/>
      </w:r>
      <w:r>
        <w:t xml:space="preserve">For those applicants remaining inactive from the issuance of the inactive licenses up to 2 years, 21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B</w:t>
        <w:t xml:space="preserve">.  </w:t>
      </w:r>
      <w:r>
        <w:rPr/>
      </w:r>
      <w:r>
        <w:t xml:space="preserve">For those applicants remaining inactive for more than 2 years but less than 4 years, 28 clock hours of continuing education completed within the previous biennium; or</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C</w:t>
        <w:t xml:space="preserve">.  </w:t>
      </w:r>
      <w:r>
        <w:rPr/>
      </w:r>
      <w:r>
        <w:t xml:space="preserve">For those applicants remaining inactive for more than 4 years but less than 6 years, 36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§8 (AMD). PL 1999, c. 129, §10 (RPR). PL 1999, c. 129, §16 (AFF). PL 2005, c. 378, §7 (AMD). PL 2005, c. 378, §29 (AFF). PL 2007, c. 402, Pt. BB,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§13196. Inactive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§13196. Inactive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§13196. INACTIVE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