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12541</w:t>
        <w:t xml:space="preserve">.  </w:t>
      </w:r>
      <w:r>
        <w:rPr>
          <w:b/>
        </w:rPr>
        <w:t xml:space="preserve">Informed consent to care</w:t>
      </w:r>
    </w:p>
    <w:p>
      <w:pPr>
        <w:jc w:val="both"/>
        <w:spacing w:before="100" w:after="100"/>
        <w:ind w:start="360"/>
        <w:ind w:firstLine="360"/>
      </w:pPr>
      <w:r>
        <w:rPr/>
      </w:r>
      <w:r>
        <w:rPr/>
      </w:r>
      <w:r>
        <w:t xml:space="preserve">In a format accepted by the board, a midwife licensed under this subchapter attending a birth at a home or freestanding birth center shall provide each client with and maintain a record of a signed informed consent to care form that describes the midwife's education and credentials, written practice guidelines, services provided, whether the midwife has professional liability insurance coverage, procedures and risks of birth in the client's chosen environment, components of the emergency plan and the address and telephone number of the board where complaints may be filed. The board shall establish by rule a form for this purpose.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§12541. Informed consent to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§12541. Informed consent to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§12541. INFORMED CONSENT TO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