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§12539. Data collection and reporting for a licensed midwife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§12539. DATA COLLECTION AND REPORTING FOR A LICENSED MIDWIFE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