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12505-A</w:t>
        <w:t xml:space="preserve">.  </w:t>
      </w:r>
      <w:r>
        <w:rPr>
          <w:b/>
        </w:rPr>
        <w:t xml:space="preserve">Unlicensed practice</w:t>
      </w:r>
    </w:p>
    <w:p>
      <w:pPr>
        <w:jc w:val="both"/>
        <w:spacing w:before="100" w:after="100"/>
        <w:ind w:start="360"/>
        <w:ind w:firstLine="360"/>
      </w:pPr>
      <w:r>
        <w:rPr/>
      </w:r>
      <w:r>
        <w:rPr/>
      </w:r>
      <w:r>
        <w:t xml:space="preserve">A person who violates </w:t>
      </w:r>
      <w:r>
        <w:t>section 12504</w:t>
      </w:r>
      <w:r>
        <w:t xml:space="preserve">, </w:t>
      </w:r>
      <w:r>
        <w:t>12511</w:t>
      </w:r>
      <w:r>
        <w:t xml:space="preserve">, </w:t>
      </w:r>
      <w:r>
        <w:t>12521</w:t>
      </w:r>
      <w:r>
        <w:t xml:space="preserve"> or </w:t>
      </w:r>
      <w:r>
        <w:t>12531</w:t>
      </w:r>
      <w:r>
        <w:t xml:space="preserve"> is subject to the provisions of </w:t>
      </w:r>
      <w:r>
        <w:t>Title 10, section 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§5 (NEW). PL 2015, c. 502,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§12505-A.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§12505-A.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§12505-A.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