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Board of Underground Storage Tank Installers;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Environmental Protection, the Board of Underground Storage Tank Installers.  The board consists of 7 members appointed by the Governor as follows:  one from the Department of Environmental Protection; one from the Maine Oil Dealer's Association; one underground oil storage tank installer; one from the Maine Chamber and Business Alliance or an underground oil storage tank inspector or a 2nd underground oil storage tank installer; one from the Maine Fire Chiefs Association; and 2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§3 (AMD).]</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The Governor, within 60 days following the effective date of this chapter, shall appoint 3 board members for terms of one year, 3 for terms of 2 years and one for a term of 3 years.  The Governor shall appoint by October 1, 1987, a board member from the Maine Chamber of Commerce and Industry for an initial term of one year.  Appointments made thereafter are for 3-year terms, but no person except the representative from the Department of Environmental Protection may be appointed to serve more than 2 consecutive terms at any one time.  Terms begin on the first day of the calendar year and end on the last day of the calendar year or until successors are appointed, except for the first appointed members who shall serve through the last calendar days of the year in which they are appointed, before commencing the terms prescribed by this section.</w:t>
      </w:r>
    </w:p>
    <w:p>
      <w:pPr>
        <w:jc w:val="both"/>
        <w:spacing w:before="100" w:after="0"/>
        <w:ind w:start="360"/>
      </w:pPr>
      <w:r>
        <w:rPr/>
      </w:r>
      <w:r>
        <w:rPr/>
      </w:r>
      <w:r>
        <w:t xml:space="preserve">Any member of the board may be removed from office for cause by the Governor.  A member may not serve more than 2 full successive terms provided that, for this purpose only, a period actually served that exceeds 1/2 of the 3-year term is deemed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§7 (AMD).]</w:t>
      </w:r>
    </w:p>
    <w:p>
      <w:pPr>
        <w:jc w:val="both"/>
        <w:spacing w:before="100" w:after="0"/>
        <w:ind w:start="360"/>
        <w:ind w:firstLine="360"/>
      </w:pPr>
      <w:r>
        <w:rPr>
          <w:b/>
        </w:rPr>
        <w:t>3</w:t>
        <w:t xml:space="preserve">.  </w:t>
      </w:r>
      <w:r>
        <w:rPr>
          <w:b/>
        </w:rPr>
        <w:t xml:space="preserve">Meetings.</w:t>
        <w:t xml:space="preserve"> </w:t>
      </w:r>
      <w:r>
        <w:t xml:space="preserve"> </w:t>
      </w:r>
      <w:r>
        <w:t xml:space="preserve">The board shall meet during the first month of each calendar year to select a chairman and for other purposes.  At least one additional meeting shall be held before the end of each calendar year.  Other meetings may be convened at the call of the chairman or the written request of any 3 board members.  A majority of the members of the board shall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shall receive no compensation for their services, but are entitled to expenses on the same basis as provided for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§4 (AMD). PL 1989, c. 845, §5 (AMD). PL 1991, c. 499, §7 (AMD). PL 1997, c. 364, §4 (AMD). PL 2001, c. 231, §6 (AMD). PL 2001, c. 626, §9 (AMD). PL 2003,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§10003. Board of Underground Storage Tank Installers;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Board of Underground Storage Tank Installers;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§10003. BOARD OF UNDERGROUND STORAGE TANK INSTALLERS;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