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medium approved by the Secretary of State,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§1670. Access to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 Access to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§1670. ACCESS TO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