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liability company may merge with one or more other constituent organizations pursuant to this section, </w:t>
      </w:r>
      <w:r>
        <w:t>sections 1642</w:t>
      </w:r>
      <w:r>
        <w:t xml:space="preserve"> to </w:t>
      </w:r>
      <w:r>
        <w:t>1644</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merger is not prohibited by the law of a jurisdiction that enacted any of the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current jurisdiction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 as allowed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 the surviving organization's organizational documents that are proposed to be in a record;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 that are, or are proposed to be, in a record or a statement that the organizing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merger, rights or securities of or interests in the constituent organization may be exchanged for or converted into cash, property or rights or securities of or interests in the surviving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§1641.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§1641.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