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6113</w:t>
        <w:t xml:space="preserve">.  </w:t>
      </w:r>
      <w:r>
        <w:rPr>
          <w:b/>
        </w:rPr>
        <w:t xml:space="preserve">Reporting</w:t>
      </w:r>
    </w:p>
    <w:p>
      <w:pPr>
        <w:jc w:val="both"/>
        <w:spacing w:before="100" w:after="100"/>
        <w:ind w:start="360"/>
        <w:ind w:firstLine="360"/>
      </w:pPr>
      <w:r>
        <w:rPr/>
      </w:r>
      <w:r>
        <w:rPr/>
      </w:r>
      <w:r>
        <w:t xml:space="preserve">Notwithstanding the provisions of </w:t>
      </w:r>
      <w:r>
        <w:t>Title 5, section 12005‑A</w:t>
      </w:r>
      <w:r>
        <w:t xml:space="preserve">, the board is not required to file an annual report with the Secretary of State unless the board meets and exercises any of its powers and duties during a calendar year.  In any calendar year in which the board meets and exercises any of its powers and duties, the board is subject to the provisions of </w:t>
      </w:r>
      <w:r>
        <w:t>Title 5, section 12005‑A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352,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352, §15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§6113.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§6113.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§6113.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