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6024</w:t>
        <w:t xml:space="preserve">.  </w:t>
      </w:r>
      <w:r>
        <w:rPr>
          <w:b/>
        </w:rPr>
        <w:t xml:space="preserve">Personal liability</w:t>
      </w:r>
    </w:p>
    <w:p>
      <w:pPr>
        <w:jc w:val="both"/>
        <w:spacing w:before="100" w:after="100"/>
        <w:ind w:start="360"/>
        <w:ind w:firstLine="360"/>
      </w:pPr>
      <w:r>
        <w:rPr/>
      </w:r>
      <w:r>
        <w:rPr/>
      </w:r>
      <w:r>
        <w:t xml:space="preserve">Neither the commissioners of the bank nor any person executing bonds or notes issued under this chapter may be liable personally on those bonds or notes by reason of the issuance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§6024. Personal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§6024. Personal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§6024. PERSONAL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