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4359</w:t>
        <w:t xml:space="preserve">.  </w:t>
      </w:r>
      <w:r>
        <w:rPr>
          <w:b/>
        </w:rPr>
        <w:t xml:space="preserve">State policy relating to municipal commercial landfill facilities moratoria</w:t>
      </w:r>
    </w:p>
    <w:p>
      <w:pPr>
        <w:jc w:val="both"/>
        <w:spacing w:before="100" w:after="100"/>
        <w:ind w:start="360"/>
        <w:ind w:firstLine="360"/>
      </w:pPr>
      <w:r>
        <w:rPr/>
      </w:r>
      <w:r>
        <w:rPr/>
      </w:r>
      <w:r>
        <w:t xml:space="preserve">It is the policy of this State, with respect to commercial landfill facilities: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State and municipal control.</w:t>
        <w:t xml:space="preserve"> </w:t>
      </w:r>
      <w:r>
        <w:t xml:space="preserve"> </w:t>
      </w:r>
      <w:r>
        <w:t xml:space="preserve">To affirm the importance of state and municipal control over the establishment of new commercial landfill facilities and over the substantial expansion of existing commercial landfill facilities;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Recognition of home rule authority.</w:t>
        <w:t xml:space="preserve"> </w:t>
      </w:r>
      <w:r>
        <w:t xml:space="preserve"> </w:t>
      </w:r>
      <w:r>
        <w:t xml:space="preserve">To recognize that any municipality may, under its home rule authority, enact a moratorium on the issuance or processing of any municipal permit for a new commercial landfill facility or the substantial expansion of a commercial landfill facility, as defined by Title 38, section 1303, subsection 11‑B.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§4359. State policy relating to municipal commercial landfill facilities moratoria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§4359. State policy relating to municipal commercial landfill facilities moratoria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§4359. STATE POLICY RELATING TO MUNICIPAL COMMERCIAL LANDFILL FACILITIES MORATORIA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