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Applicability to deorganization by Legislature</w:t>
      </w:r>
    </w:p>
    <w:p>
      <w:pPr>
        <w:jc w:val="both"/>
        <w:spacing w:before="100" w:after="100"/>
        <w:ind w:start="360"/>
        <w:ind w:firstLine="360"/>
      </w:pPr>
      <w:r>
        <w:rPr/>
      </w:r>
      <w:r>
        <w:rPr/>
      </w:r>
      <w:r>
        <w:t xml:space="preserve">This chapter applies to any municipalities or plantations that are or have been deorganized by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§7301. Applicability to deorganization by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Applicability to deorganization by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§7301. APPLICABILITY TO DEORGANIZATION BY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