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at least 60 days before the end of the county's fiscal year.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