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 Illegal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Illegal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§707. ILLEGAL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