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§706-A. Limitation on county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§706-A. Limitation on county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§706-A. LIMITATION ON COUNTY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