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§6054. Liquor Operation Revenue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§6054. Liquor Operation Revenue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§6054. LIQUOR OPERATION REVENUE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