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5354</w:t>
        <w:t xml:space="preserve">.  </w:t>
      </w:r>
      <w:r>
        <w:rPr>
          <w:b/>
        </w:rPr>
        <w:t xml:space="preserve">Public hearing</w:t>
      </w:r>
    </w:p>
    <w:p>
      <w:pPr>
        <w:jc w:val="both"/>
        <w:spacing w:before="100" w:after="100"/>
        <w:ind w:start="360"/>
        <w:ind w:firstLine="360"/>
      </w:pPr>
      <w:r>
        <w:rPr/>
      </w:r>
      <w:r>
        <w:rPr/>
      </w:r>
      <w:r>
        <w:t xml:space="preserve">Before approving any development plan under </w:t>
      </w:r>
      <w:r>
        <w:t>section 5353</w:t>
      </w:r>
      <w:r>
        <w:t xml:space="preserve">, the municipal legislative body or the municipality's urban renewal authority shall hold a public hearing on the development plan.  This public hearing must be held not less than 7 nor more than 14 days after notice of the time, place and purpose of the hearing has been published in a newspaper having general circulation in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§5354. Public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§5354. Public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§5354. PUBLIC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