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5250-F</w:t>
        <w:t xml:space="preserve">.  </w:t>
      </w:r>
      <w:r>
        <w:rPr>
          <w:b/>
        </w:rPr>
        <w:t xml:space="preserve">Advisory board</w:t>
      </w:r>
    </w:p>
    <w:p>
      <w:pPr>
        <w:jc w:val="both"/>
        <w:spacing w:before="100" w:after="100"/>
        <w:ind w:start="360"/>
        <w:ind w:firstLine="360"/>
      </w:pPr>
      <w:r>
        <w:rPr/>
      </w:r>
      <w:r>
        <w:rPr/>
      </w:r>
      <w:r>
        <w:t xml:space="preserve">The legislative body of a municipality may create an advisory board, a majority of whose members must be owners or occupants of real property located in or adjacent to the affordable housing development district they serve. The advisory board shall advise the legislative body on the planning and implementation of the affordable housing development program, the construction of the district and the maintenance and operation of the district after the program has been completed.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§5250-F.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§5250-F.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§5250-F.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