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§4857. Recovery of money applied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§4857. Recovery of money applied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§4857. RECOVERY OF MONEY APPLIED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