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w:t>
        <w:t xml:space="preserve">.  </w:t>
      </w:r>
      <w:r>
        <w:rPr>
          <w:b/>
        </w:rPr>
        <w:t xml:space="preserve">Separability</w:t>
      </w:r>
    </w:p>
    <w:p>
      <w:pPr>
        <w:jc w:val="both"/>
        <w:spacing w:before="100" w:after="100"/>
        <w:ind w:start="360"/>
        <w:ind w:firstLine="360"/>
      </w:pPr>
      <w:r>
        <w:rPr/>
      </w:r>
      <w:r>
        <w:rPr/>
      </w:r>
      <w:r>
        <w:t xml:space="preserve">In accordance with </w:t>
      </w:r>
      <w:r>
        <w:t>section 4722, subsection 1, paragraph H</w:t>
      </w:r>
      <w:r>
        <w:t xml:space="preserve">, the authority to issue bonds granted by this subchapter and the terms, conditions, purposes and uses of those bonds are separate from, and not limited or restricted by, the authority to issue bonds granted in the several separate subchapters of this chapter.  The provisions of all other subchapters of this chapter apply to this subchapter except </w:t>
      </w:r>
      <w:r>
        <w:t>sections 4901</w:t>
      </w:r>
      <w:r>
        <w:t xml:space="preserve"> to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§4807.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§4807.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