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Bonds; use of proceeds</w:t>
      </w:r>
    </w:p>
    <w:p>
      <w:pPr>
        <w:jc w:val="both"/>
        <w:spacing w:before="100" w:after="100"/>
        <w:ind w:start="360"/>
        <w:ind w:firstLine="360"/>
      </w:pPr>
      <w:r>
        <w:rPr/>
      </w:r>
      <w:r>
        <w:rPr/>
      </w:r>
      <w:r>
        <w:t xml:space="preserve">Institutional loans made and rules established under this subchapter shall be designed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Expand mortgage funds.</w:t>
        <w:t xml:space="preserve"> </w:t>
      </w:r>
      <w:r>
        <w:t xml:space="preserve"> </w:t>
      </w:r>
      <w:r>
        <w:t xml:space="preserve">Expand the supply of funds available in the State for residential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Improve housing for low-income persons.</w:t>
        <w:t xml:space="preserve"> </w:t>
      </w:r>
      <w:r>
        <w:t xml:space="preserve"> </w:t>
      </w:r>
      <w:r>
        <w:t xml:space="preserve">Provide funds to alleviate the shortage of decent, safe and sanitary living accommodations in the State for persons of low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Improve energy conservation.</w:t>
        <w:t xml:space="preserve"> </w:t>
      </w:r>
      <w:r>
        <w:t xml:space="preserve"> </w:t>
      </w:r>
      <w:r>
        <w:t xml:space="preserve">In the case of rehabilitated housing units or housing projects, improve and promote conservation of energy resources or otherwise improve the quality of existing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§4804.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§4804.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