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§4482-B. FINALITY OF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