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in a number of locations on undeveloped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For the locations required by this section, municipal ordinances may not require that manufactured housing on individual lots be greater than 14 feet in width, although municipalities may establish design criteria, including, but not limited to, a pitched, shingled roof; a permanent foundation; and exterior siding that is residential in appearance, provided that:</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may not be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which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other provision of law, any modular home that meets construction standards for state-certified manufactured homes adopted pursuant to </w:t>
      </w:r>
      <w:r>
        <w:t>Title 10, section 9042</w:t>
      </w:r>
      <w:r>
        <w:t xml:space="preserve">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1995, c. 199,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199,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§4358.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§4358.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