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3517</w:t>
        <w:t xml:space="preserve">.  </w:t>
      </w:r>
      <w:r>
        <w:rPr>
          <w:b/>
        </w:rPr>
        <w:t xml:space="preserve">Warrant for taxes</w:t>
      </w:r>
    </w:p>
    <w:p>
      <w:pPr>
        <w:jc w:val="both"/>
        <w:spacing w:before="100" w:after="100"/>
        <w:ind w:start="360"/>
        <w:ind w:firstLine="360"/>
      </w:pPr>
      <w:r>
        <w:rPr/>
      </w:r>
      <w:r>
        <w:rPr/>
      </w:r>
      <w:r>
        <w:t xml:space="preserve">Before April 1st of each year, the directors shall issue their warrant in the same form as the warrant of the Treasurer of State for taxes, with proper changes, to the assessors of the municipalities comprising the district.  The warrant shall require the municipalities to assess the sum allocated to each municipality for payment of the operating deficit and the sum allocated to each municipality for payment into the sinking fund, if any,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by distress and sale on real and personal property of any of the inhabitants of the municipality.  The sheriff or any of the deputies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§3517. Warrant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§3517. Warrant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§3517. WARRANT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