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municipal sewer or storm water disposal system service provided to property rented by the tenant and nonpayment for the service may result in a lien against the property, the municipality shall provide to the landlord or the landlord's agent, on request of the landlord or the landlord's agent, the current status of the tenant's sewer or storm water disposal system service account, including any amounts due or overdue.  For purposes of this section, "storm water disposal system" has the same meaning as in </w:t>
      </w:r>
      <w:r>
        <w:t>section 3406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§1 (NEW). PL 2013, c. 197,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§3406-A. Landlord access to tenant bill payment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§3406-A. Landlord access to tenant bill payment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§3406-A. LANDLORD ACCESS TO TENANT BILL PAYMENT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